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3E3" w:rsidRPr="00482B77" w:rsidRDefault="00A863E3" w:rsidP="00A863E3">
      <w:pPr>
        <w:rPr>
          <w:rFonts w:asciiTheme="minorBidi" w:hAnsiTheme="minorBidi"/>
          <w:b/>
          <w:bCs/>
          <w:sz w:val="20"/>
          <w:szCs w:val="20"/>
        </w:rPr>
      </w:pPr>
      <w:r w:rsidRPr="00482B77">
        <w:rPr>
          <w:rFonts w:asciiTheme="minorBidi" w:hAnsiTheme="minorBidi"/>
          <w:b/>
          <w:bCs/>
          <w:sz w:val="20"/>
          <w:szCs w:val="20"/>
        </w:rPr>
        <w:t xml:space="preserve">Supplementary tables </w:t>
      </w:r>
    </w:p>
    <w:p w:rsidR="00A863E3" w:rsidRPr="00482B77" w:rsidRDefault="00A863E3" w:rsidP="00A863E3">
      <w:pPr>
        <w:rPr>
          <w:rFonts w:asciiTheme="minorBidi" w:hAnsiTheme="minorBidi"/>
          <w:sz w:val="20"/>
          <w:szCs w:val="20"/>
        </w:rPr>
      </w:pPr>
    </w:p>
    <w:p w:rsidR="00A863E3" w:rsidRPr="00482B77" w:rsidRDefault="00A863E3" w:rsidP="00A863E3">
      <w:pPr>
        <w:pStyle w:val="Heading2"/>
        <w:rPr>
          <w:rFonts w:asciiTheme="minorBidi" w:eastAsia="Times New Roman" w:hAnsiTheme="minorBidi" w:cstheme="minorBidi"/>
          <w:b/>
          <w:bCs/>
          <w:color w:val="auto"/>
          <w:kern w:val="36"/>
          <w:sz w:val="20"/>
          <w:szCs w:val="20"/>
          <w:lang w:eastAsia="en-US"/>
        </w:rPr>
      </w:pPr>
      <w:r w:rsidRPr="00482B77">
        <w:rPr>
          <w:rFonts w:asciiTheme="minorBidi" w:eastAsia="Times New Roman" w:hAnsiTheme="minorBidi" w:cstheme="minorBidi"/>
          <w:b/>
          <w:bCs/>
          <w:color w:val="auto"/>
          <w:kern w:val="36"/>
          <w:sz w:val="20"/>
          <w:szCs w:val="20"/>
          <w:lang w:eastAsia="en-US"/>
        </w:rPr>
        <w:t>Supplementary Table S1. Key groups, clinical trials, and consortia investigating NSCLC biomarkers for immune checkpoint inhibitor response</w:t>
      </w:r>
    </w:p>
    <w:p w:rsidR="00A863E3" w:rsidRPr="00482B77" w:rsidRDefault="00A863E3" w:rsidP="00A863E3">
      <w:pPr>
        <w:pStyle w:val="Heading2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482B77">
        <w:rPr>
          <w:rFonts w:asciiTheme="minorBidi" w:hAnsiTheme="minorBidi" w:cstheme="minorBidi"/>
          <w:b/>
          <w:bCs/>
          <w:color w:val="auto"/>
          <w:sz w:val="20"/>
          <w:szCs w:val="20"/>
        </w:rPr>
        <w:t>Clinical Trials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905"/>
        <w:gridCol w:w="1384"/>
        <w:gridCol w:w="1612"/>
        <w:gridCol w:w="2145"/>
        <w:gridCol w:w="1462"/>
        <w:gridCol w:w="514"/>
      </w:tblGrid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Program / Consortium (year)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Type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Biomarker focus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NSCLC context &amp; key finding(s)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Assay / platform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References</w:t>
            </w:r>
          </w:p>
        </w:tc>
        <w:tc>
          <w:tcPr>
            <w:tcW w:w="51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KEYNOTE-024 (2016)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(TPS ≥ 50%)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 metastatic NSCLC: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pembrolizumab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PFS and OS vs chemo in PD-L1-high tumors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IHC 22C3 (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Dako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>/Agilent)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Reck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2016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KEYNOTE-042 (2019)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(TPS ≥ 1%)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1L metastatic NSCLC: OS benefit vs chemo; benefit largely driven by TPS ≥ 50% subgroup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IHC 22C3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Mok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2019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KEYNOTE-189 (2018)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(all levels)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 non-squamous: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pembro+chemo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OS &amp; PFS across PD-L1 strata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22C3;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platinum+pemetrexed</w:t>
            </w:r>
            <w:proofErr w:type="spellEnd"/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Gandhi et al., 2018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3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KEYNOTE-407 (2018)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(all levels)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 squamous: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pembro+chemo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OS across PD-L1 groups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22C3; carbo-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taxane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backbone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Paz-Ares et al., 2018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4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CheckMate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017 (2015)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(exploratory)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2L squamous: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nivolumab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OS vs docetaxel; benefit observed irrespective of PD-L1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IHC 28-8 (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Dako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>)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Brahmer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2015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5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CheckMate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057 (2015)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(exploratory)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2L non-squamous: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nivolumab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OS; higher PD-L1 enriched benefit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28-8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Borghaei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2015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6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CheckMate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026 (2017)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(TPS ≥ 5%)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nivolumab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vs chemo negative; spurred interest in TMB as biomarker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28-8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Carbone et al., 2017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7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CheckMate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227 (2019)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 xml:space="preserve">Phase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TMB &amp; PD-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L1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 xml:space="preserve">1L: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nivo+ipi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improved OS (PD-L1 ≥ 1%); early PFS signal with high TMB, later deemphasized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 xml:space="preserve">Tissue TMB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(WES/panels), 28-8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 xml:space="preserve">Hellmann et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al., 2019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8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IMpower110 (2020)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(TC3/IC3)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atezolizumab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improved OS vs chemo in PD-L1-high tumors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IHC SP142 (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Ventana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>)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Herbst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2020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9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POPLAR / OAK (2016/2017)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 / III trials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2L: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atezolizumab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vs docetaxel—OS benefit overall, enriched with higher PD-L1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SP142</w:t>
            </w:r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Fehrenbacher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2016;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Rittmeyer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2017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10, 11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MYSTIC (2020)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(post hoc)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1L: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durvalumab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±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tremelimumab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vs chemo—primary negative; exploratory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signal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ctDNA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panel-based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Rizvi et al., 2020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12</w:t>
            </w:r>
          </w:p>
        </w:tc>
      </w:tr>
      <w:tr w:rsidR="00A863E3" w:rsidRPr="00482B77" w:rsidTr="00E363C1">
        <w:tc>
          <w:tcPr>
            <w:tcW w:w="1328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B-F1RST (2022)</w:t>
            </w:r>
          </w:p>
        </w:tc>
        <w:tc>
          <w:tcPr>
            <w:tcW w:w="90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Phase II trial</w:t>
            </w:r>
          </w:p>
        </w:tc>
        <w:tc>
          <w:tcPr>
            <w:tcW w:w="1384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(prospective)</w:t>
            </w:r>
          </w:p>
        </w:tc>
        <w:tc>
          <w:tcPr>
            <w:tcW w:w="161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1L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atezolizumab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: higher ORR at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>-high; PFS not significant at cutoff</w:t>
            </w:r>
          </w:p>
        </w:tc>
        <w:tc>
          <w:tcPr>
            <w:tcW w:w="2145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Foundation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ctDNA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</w:p>
        </w:tc>
        <w:tc>
          <w:tcPr>
            <w:tcW w:w="1462" w:type="dxa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Kim et al., 2022</w:t>
            </w:r>
          </w:p>
        </w:tc>
        <w:tc>
          <w:tcPr>
            <w:tcW w:w="514" w:type="dxa"/>
          </w:tcPr>
          <w:p w:rsidR="00A863E3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13</w:t>
            </w:r>
          </w:p>
        </w:tc>
      </w:tr>
    </w:tbl>
    <w:p w:rsidR="00A863E3" w:rsidRPr="00482B77" w:rsidRDefault="00A863E3" w:rsidP="00A863E3">
      <w:pPr>
        <w:pStyle w:val="Heading2"/>
        <w:rPr>
          <w:rFonts w:asciiTheme="minorBidi" w:hAnsiTheme="minorBidi" w:cstheme="minorBidi"/>
          <w:color w:val="auto"/>
          <w:sz w:val="20"/>
          <w:szCs w:val="20"/>
        </w:rPr>
      </w:pPr>
      <w:r w:rsidRPr="00482B77">
        <w:rPr>
          <w:rFonts w:asciiTheme="minorBidi" w:hAnsiTheme="minorBidi" w:cstheme="minorBidi"/>
          <w:color w:val="auto"/>
          <w:sz w:val="20"/>
          <w:szCs w:val="20"/>
        </w:rPr>
        <w:t>Consortia and Programs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506"/>
        <w:gridCol w:w="1562"/>
        <w:gridCol w:w="1573"/>
        <w:gridCol w:w="1806"/>
        <w:gridCol w:w="1295"/>
        <w:gridCol w:w="1295"/>
        <w:gridCol w:w="588"/>
      </w:tblGrid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Program / Consortium (year)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Type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Biomarker focus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NSCLC context &amp; key finding(s)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Assay / platform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References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Blueprint PD-L1 IHC Project (2017→)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Consortium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assay harmonization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22C3/28-8/SP263 similar; SP142 less sensitive; interchangeability caveats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 IHC assays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Hirsch et al., 2017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14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Friends of Cancer Research – TMB Harmonization (2020–2021)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Consortium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TMB standardization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Cross-platform calibration &amp; recommendations for TMB cut-point alignment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WES &amp; large NGS panels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Merino et al., 2020; Vega et al., 2021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15, 16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CIMAC–CIDC Network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National network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Immune monitoring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Shared SOPs and data platforms across ICI trials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Multi-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omic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assays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NCI, 2025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17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TRACERx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(lung)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Longitudinal cohort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Evolution,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neoantigens</w:t>
            </w:r>
            <w:proofErr w:type="spellEnd"/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Showed links between clonal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neoantigens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, </w:t>
            </w: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immune pressure, and outcomes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WES/WGS + immune profiling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Jamal-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Hanjani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et al., 2017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18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lastRenderedPageBreak/>
              <w:t>CPTAC LUAD (2020)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Proteogenomic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consortium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Proteomics + immune pathways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 xml:space="preserve">Integrated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proteogenomics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mapped immune–metabolic states and candidate biomarkers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Deep proteomics + genomics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Gillette et al., 2020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19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AACR Project GENIE BPC NSCLC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Real-world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PD-L1, treatments, outcomes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Curated NSCLC datasets for biomarker validation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Harmonized EHR + NGS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AACR Project GENIE Consortium, 2025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20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BloodPAC</w:t>
            </w:r>
            <w:proofErr w:type="spellEnd"/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Consortium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ctDNA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/ 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bTMB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/ MRD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Standards and repositories for liquid biopsy biomarkers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Multi-assay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BloodPAC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Consortium, 2024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21</w:t>
            </w:r>
          </w:p>
        </w:tc>
      </w:tr>
      <w:tr w:rsidR="00EF6891" w:rsidRPr="00482B77" w:rsidTr="00EF6891">
        <w:tc>
          <w:tcPr>
            <w:tcW w:w="1485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DREAM Challenge (2020)</w:t>
            </w:r>
          </w:p>
        </w:tc>
        <w:tc>
          <w:tcPr>
            <w:tcW w:w="154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Benchmarking</w:t>
            </w:r>
          </w:p>
        </w:tc>
        <w:tc>
          <w:tcPr>
            <w:tcW w:w="1552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Multi-omics predictive models</w:t>
            </w:r>
          </w:p>
        </w:tc>
        <w:tc>
          <w:tcPr>
            <w:tcW w:w="1781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Crowdsourced evaluation of algorithms predicting anti-PD-1 benefit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Public multi-</w:t>
            </w:r>
            <w:proofErr w:type="spellStart"/>
            <w:r w:rsidRPr="00482B77">
              <w:rPr>
                <w:rFonts w:asciiTheme="minorBidi" w:hAnsiTheme="minorBidi"/>
                <w:sz w:val="20"/>
                <w:szCs w:val="20"/>
              </w:rPr>
              <w:t>omic</w:t>
            </w:r>
            <w:proofErr w:type="spellEnd"/>
            <w:r w:rsidRPr="00482B77">
              <w:rPr>
                <w:rFonts w:asciiTheme="minorBidi" w:hAnsiTheme="minorBidi"/>
                <w:sz w:val="20"/>
                <w:szCs w:val="20"/>
              </w:rPr>
              <w:t xml:space="preserve"> datasets</w:t>
            </w:r>
          </w:p>
        </w:tc>
        <w:tc>
          <w:tcPr>
            <w:tcW w:w="1278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Ma et al., 2020</w:t>
            </w:r>
          </w:p>
        </w:tc>
        <w:tc>
          <w:tcPr>
            <w:tcW w:w="710" w:type="dxa"/>
          </w:tcPr>
          <w:p w:rsidR="00EF6891" w:rsidRPr="00482B77" w:rsidRDefault="00EF6891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22</w:t>
            </w:r>
          </w:p>
        </w:tc>
      </w:tr>
    </w:tbl>
    <w:p w:rsidR="00A863E3" w:rsidRPr="00482B77" w:rsidRDefault="00A863E3" w:rsidP="00A863E3">
      <w:pPr>
        <w:rPr>
          <w:rFonts w:asciiTheme="minorBidi" w:hAnsiTheme="minorBidi"/>
          <w:sz w:val="20"/>
          <w:szCs w:val="20"/>
        </w:rPr>
      </w:pPr>
    </w:p>
    <w:p w:rsidR="00EF6891" w:rsidRPr="00482B77" w:rsidRDefault="00EF6891" w:rsidP="00A863E3">
      <w:pPr>
        <w:pStyle w:val="Heading3"/>
        <w:rPr>
          <w:rFonts w:asciiTheme="minorBidi" w:eastAsiaTheme="minorEastAsia" w:hAnsiTheme="minorBidi" w:cstheme="minorBidi"/>
          <w:b/>
          <w:bCs/>
          <w:color w:val="auto"/>
          <w:sz w:val="20"/>
          <w:szCs w:val="20"/>
        </w:rPr>
      </w:pPr>
    </w:p>
    <w:p w:rsidR="00EF6891" w:rsidRPr="00482B77" w:rsidRDefault="00EF6891" w:rsidP="00A863E3">
      <w:pPr>
        <w:pStyle w:val="Heading3"/>
        <w:rPr>
          <w:rFonts w:asciiTheme="minorBidi" w:eastAsiaTheme="minorEastAsia" w:hAnsiTheme="minorBidi" w:cstheme="minorBidi"/>
          <w:b/>
          <w:bCs/>
          <w:color w:val="auto"/>
          <w:sz w:val="20"/>
          <w:szCs w:val="20"/>
        </w:rPr>
      </w:pPr>
    </w:p>
    <w:p w:rsidR="00A863E3" w:rsidRPr="00482B77" w:rsidRDefault="00A863E3" w:rsidP="00A863E3">
      <w:pPr>
        <w:pStyle w:val="Heading3"/>
        <w:rPr>
          <w:rFonts w:asciiTheme="minorBidi" w:eastAsiaTheme="minorEastAsia" w:hAnsiTheme="minorBidi" w:cstheme="minorBidi"/>
          <w:b/>
          <w:bCs/>
          <w:color w:val="auto"/>
          <w:sz w:val="20"/>
          <w:szCs w:val="20"/>
        </w:rPr>
      </w:pPr>
      <w:r w:rsidRPr="00482B77">
        <w:rPr>
          <w:rFonts w:asciiTheme="minorBidi" w:eastAsiaTheme="minorEastAsia" w:hAnsiTheme="minorBidi" w:cstheme="minorBidi"/>
          <w:b/>
          <w:bCs/>
          <w:color w:val="auto"/>
          <w:sz w:val="20"/>
          <w:szCs w:val="20"/>
        </w:rPr>
        <w:t>Supplementary Table S2. Detailed PubMed search strategy</w:t>
      </w:r>
    </w:p>
    <w:p w:rsidR="00A863E3" w:rsidRPr="00482B77" w:rsidRDefault="00A863E3" w:rsidP="00A863E3">
      <w:pPr>
        <w:rPr>
          <w:rFonts w:asciiTheme="minorBidi" w:hAnsiTheme="minorBidi"/>
          <w:sz w:val="20"/>
          <w:szCs w:val="20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435"/>
        <w:gridCol w:w="1620"/>
        <w:gridCol w:w="6300"/>
      </w:tblGrid>
      <w:tr w:rsidR="00A863E3" w:rsidRPr="00482B77" w:rsidTr="00E363C1">
        <w:tc>
          <w:tcPr>
            <w:tcW w:w="1435" w:type="dxa"/>
            <w:vAlign w:val="center"/>
          </w:tcPr>
          <w:p w:rsidR="00A863E3" w:rsidRPr="00482B77" w:rsidRDefault="00A863E3" w:rsidP="00E363C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82B77">
              <w:rPr>
                <w:rStyle w:val="Strong"/>
                <w:rFonts w:asciiTheme="minorBidi" w:hAnsiTheme="minorBidi"/>
                <w:sz w:val="20"/>
                <w:szCs w:val="20"/>
              </w:rPr>
              <w:t>Database</w:t>
            </w:r>
          </w:p>
        </w:tc>
        <w:tc>
          <w:tcPr>
            <w:tcW w:w="1620" w:type="dxa"/>
            <w:vAlign w:val="center"/>
          </w:tcPr>
          <w:p w:rsidR="00A863E3" w:rsidRPr="00482B77" w:rsidRDefault="00A863E3" w:rsidP="00E363C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82B77">
              <w:rPr>
                <w:rStyle w:val="Strong"/>
                <w:rFonts w:asciiTheme="minorBidi" w:hAnsiTheme="minorBidi"/>
                <w:sz w:val="20"/>
                <w:szCs w:val="20"/>
              </w:rPr>
              <w:t>Search date</w:t>
            </w:r>
          </w:p>
        </w:tc>
        <w:tc>
          <w:tcPr>
            <w:tcW w:w="6300" w:type="dxa"/>
            <w:vAlign w:val="center"/>
          </w:tcPr>
          <w:p w:rsidR="00A863E3" w:rsidRPr="00482B77" w:rsidRDefault="00A863E3" w:rsidP="00E363C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82B77">
              <w:rPr>
                <w:rStyle w:val="Strong"/>
                <w:rFonts w:asciiTheme="minorBidi" w:hAnsiTheme="minorBidi"/>
                <w:sz w:val="20"/>
                <w:szCs w:val="20"/>
              </w:rPr>
              <w:t>Search string (Boolean operators)</w:t>
            </w:r>
          </w:p>
        </w:tc>
      </w:tr>
      <w:tr w:rsidR="00A863E3" w:rsidRPr="00482B77" w:rsidTr="00E363C1">
        <w:tc>
          <w:tcPr>
            <w:tcW w:w="1435" w:type="dxa"/>
            <w:vAlign w:val="center"/>
          </w:tcPr>
          <w:p w:rsidR="00A863E3" w:rsidRPr="00482B77" w:rsidRDefault="00A863E3" w:rsidP="00E363C1">
            <w:pPr>
              <w:jc w:val="left"/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PubMed</w:t>
            </w:r>
          </w:p>
        </w:tc>
        <w:tc>
          <w:tcPr>
            <w:tcW w:w="1620" w:type="dxa"/>
            <w:vAlign w:val="center"/>
          </w:tcPr>
          <w:p w:rsidR="00A863E3" w:rsidRPr="00482B77" w:rsidRDefault="00A863E3" w:rsidP="00E363C1">
            <w:pPr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April 11, 2024</w:t>
            </w:r>
          </w:p>
        </w:tc>
        <w:tc>
          <w:tcPr>
            <w:tcW w:w="6300" w:type="dxa"/>
            <w:vAlign w:val="center"/>
          </w:tcPr>
          <w:p w:rsidR="00A863E3" w:rsidRPr="00482B77" w:rsidRDefault="00A863E3" w:rsidP="00E363C1">
            <w:pPr>
              <w:jc w:val="left"/>
              <w:rPr>
                <w:rFonts w:asciiTheme="minorBidi" w:hAnsiTheme="minorBidi"/>
                <w:sz w:val="20"/>
                <w:szCs w:val="20"/>
              </w:rPr>
            </w:pPr>
            <w:r w:rsidRPr="00482B77">
              <w:rPr>
                <w:rFonts w:asciiTheme="minorBidi" w:hAnsiTheme="minorBidi"/>
                <w:sz w:val="20"/>
                <w:szCs w:val="20"/>
              </w:rPr>
              <w:t>("immune checkpoint inhibitors"[Title/Abstract] OR "ICI"[Title/Abstract] OR "immune checkpoint blockade"[Title/Abstract]) AND ("NSCLC"[Title/Abstract] OR "non-small cell lung cancer"[Title/Abstract]) AND ("multi-omics"[Title/Abstract] OR "genomics"[Title/Abstract] OR "proteomics"[Title/Abstract] OR "metabolomics"[Title/Abstract]) AND ("response prediction"[Title/Abstract] OR "predictive biomarkers"[Title/Abstract] OR "tumor microenvironment"[Title/Abstract]) Filters applied: Humans, English, 2016–2025</w:t>
            </w:r>
          </w:p>
        </w:tc>
      </w:tr>
    </w:tbl>
    <w:p w:rsidR="00C96A28" w:rsidRPr="00482B77" w:rsidRDefault="00C96A28">
      <w:pPr>
        <w:rPr>
          <w:rFonts w:asciiTheme="minorBidi" w:hAnsiTheme="minorBidi"/>
          <w:sz w:val="20"/>
          <w:szCs w:val="20"/>
        </w:rPr>
      </w:pPr>
    </w:p>
    <w:p w:rsidR="00EF6891" w:rsidRPr="00482B77" w:rsidRDefault="00EF6891">
      <w:pPr>
        <w:rPr>
          <w:rFonts w:asciiTheme="minorBidi" w:hAnsiTheme="minorBidi"/>
          <w:sz w:val="20"/>
          <w:szCs w:val="20"/>
        </w:rPr>
      </w:pPr>
    </w:p>
    <w:p w:rsidR="00EF6891" w:rsidRPr="00482B77" w:rsidRDefault="00EF6891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482B77" w:rsidRPr="00482B77" w:rsidRDefault="00482B77">
      <w:pPr>
        <w:rPr>
          <w:rFonts w:asciiTheme="minorBidi" w:hAnsiTheme="minorBidi"/>
          <w:sz w:val="20"/>
          <w:szCs w:val="20"/>
        </w:rPr>
      </w:pPr>
    </w:p>
    <w:p w:rsidR="00EF6891" w:rsidRPr="00482B77" w:rsidRDefault="00EF6891">
      <w:pPr>
        <w:rPr>
          <w:rFonts w:asciiTheme="minorBidi" w:hAnsiTheme="minorBidi"/>
          <w:sz w:val="20"/>
          <w:szCs w:val="20"/>
        </w:rPr>
      </w:pPr>
    </w:p>
    <w:p w:rsidR="00EF6891" w:rsidRPr="00482B77" w:rsidRDefault="00EF6891">
      <w:pPr>
        <w:rPr>
          <w:rFonts w:asciiTheme="minorBidi" w:hAnsiTheme="minorBidi"/>
          <w:b/>
          <w:bCs/>
          <w:sz w:val="24"/>
        </w:rPr>
      </w:pPr>
      <w:bookmarkStart w:id="0" w:name="_GoBack"/>
      <w:r w:rsidRPr="00482B77">
        <w:rPr>
          <w:rFonts w:asciiTheme="minorBidi" w:hAnsiTheme="minorBidi"/>
          <w:b/>
          <w:bCs/>
          <w:sz w:val="24"/>
        </w:rPr>
        <w:lastRenderedPageBreak/>
        <w:t xml:space="preserve">References </w:t>
      </w:r>
    </w:p>
    <w:bookmarkEnd w:id="0"/>
    <w:p w:rsidR="00EF6891" w:rsidRPr="00EF6891" w:rsidRDefault="00EF6891" w:rsidP="00EF6891">
      <w:pPr>
        <w:widowControl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Reck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M, Rodríguez-Abreu D, Robinson AG,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Pembrolizumab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chemotherapy for PD-L1–positive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2016;375(19):1823–1833.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Mok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TSK, Wu YL,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Kudaba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I,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Pembrolizumab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chemotherapy for previously untreated, PD-L1–expressing advanced non–small-cell lung cancer (KEYNOTE-042). Lancet. 2019;393(10183):1819–1830.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Gandhi L, Rodríguez-Abreu D,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Gadgeel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S,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Pembrolizumab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plus chemotherapy in metastatic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2018;378(22):2078–2092.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Paz-Ares L,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Luft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A, Vicente D,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Pembrolizumab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plus chemotherapy for squamous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2018;379(21):2040–2051.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Brahmer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Reckamp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KL, Baas P,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Nivolumab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docetaxel in advanced squamous-cell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2015;373(2):123–135.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Borghaei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H, Paz-Ares L, Horn L,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Nivolumab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docetaxel in advanced non–squamous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2015;373(17):1627–1639.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Carbone DP,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Reck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M, Paz-Ares L, et al. First-line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nivolumab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in stage IV or recurrent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2017;376(25):2415–2426.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Hellmann MD, Paz-Ares L,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Bernabe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Caro R,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Nivolumab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plus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ipilimumab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in advanced non–small-cell lung cancer.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2019;381(21):2020–2031.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Herbst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RS,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Giaccone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G, de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Marinis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F,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Atezolizumab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for first-line treatment of PD-L1–selected patients with NSCLC.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2020;383(14):1328–1339.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Fehrenbacher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L,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Spira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A, Ballinger M,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Atezolizumab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docetaxel for patients with previously treated NSCLC (POPLAR). Lancet. 2016;387(10030):1837–1846.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Rittmeyer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A,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Barlesi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F,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Waterkamp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D,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Atezolizumab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versus docetaxel in patients with previously treated NSCLC (OAK). Lancet. 2017;389(10066):255–265.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Rizvi NA, Cho BC,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Reinmuth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N,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Durvalumab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with or without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tremelimumab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as first-line treatment for metastatic NSCLC: MYSTIC. JAMA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Oncol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. 2020;6(5):661–674.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Kim ES,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Velcheti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V,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Mekhail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T, et al. Blood-based tumor mutational burden as biomarker for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atezolizumab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in NSCLC (B-F1RST). Nat Med. 2022;28(5):939–945.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Hirsch FR,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McElhinny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A,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Stanforth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D, et al. PD-L1 immunohistochemistry assays for lung cancer: results from Blueprint phase 1. J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Thorac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Oncol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. 2017;12(2):208–222.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Merino DM, McShane LM,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Fabrizio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D, et al. TMB harmonization project: Phase I feasibility. J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Immunother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Cancer. 2020;8(1</w:t>
      </w:r>
      <w:proofErr w:type="gram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):e</w:t>
      </w:r>
      <w:proofErr w:type="gram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000147.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Vega DM, Nishino M, Moore DA, et al. TMB harmonization project: Phase II cross-platform calibration. Ann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Oncol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. 2021;32(12):1626–1636.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National Cancer Institute. CIMAC–CIDC Network overview. Cancer Research Data Commons (CRDC). 2025. Available from: </w:t>
      </w:r>
      <w:hyperlink r:id="rId5" w:history="1">
        <w:r w:rsidRPr="00482B77">
          <w:rPr>
            <w:rFonts w:asciiTheme="minorBidi" w:eastAsia="Times New Roman" w:hAnsiTheme="minorBidi"/>
            <w:color w:val="0000FF"/>
            <w:kern w:val="0"/>
            <w:sz w:val="20"/>
            <w:szCs w:val="20"/>
            <w:u w:val="single"/>
            <w:lang w:eastAsia="en-US"/>
          </w:rPr>
          <w:t>https://crdc.cancer.gov</w:t>
        </w:r>
      </w:hyperlink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Jamal-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Hanjani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M, Wilson GA,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McGranahan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N, et al. Tracking genomic evolution in lung cancer (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TRACERx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). N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Engl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J Med. 2017;376(22):2109–2121.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Gillette MA,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Satpathy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S, Cao S, et al.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Proteogenomic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characterization reveals therapeutic vulnerabilities in lung adenocarcinoma. Cell. 2020;182(1):200–225.e35.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AACR Project GENIE Consortium. AACR Project GENIE: powering precision medicine through an international consortium. Cancer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Discov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. 2017;7(8):818–831.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BloodPAC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Consortium.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BloodPAC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: collaborative infrastructure for liquid biopsy data generation.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Clin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Transl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Sci. 2024;17(1</w:t>
      </w:r>
      <w:proofErr w:type="gram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):xx</w:t>
      </w:r>
      <w:proofErr w:type="gram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–xx.</w:t>
      </w:r>
    </w:p>
    <w:p w:rsidR="00EF6891" w:rsidRPr="00EF6891" w:rsidRDefault="00EF6891" w:rsidP="00EF689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Ma W, Gilliland CT, Bilal E, et al. DREAM Challenge to predict anti-PD-1 outcomes in NSCLC. JCO </w:t>
      </w:r>
      <w:proofErr w:type="spell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Clin</w:t>
      </w:r>
      <w:proofErr w:type="spell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 xml:space="preserve"> Cancer Inform. </w:t>
      </w:r>
      <w:proofErr w:type="gramStart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2020;4:1</w:t>
      </w:r>
      <w:proofErr w:type="gramEnd"/>
      <w:r w:rsidRPr="00EF6891">
        <w:rPr>
          <w:rFonts w:asciiTheme="minorBidi" w:eastAsia="Times New Roman" w:hAnsiTheme="minorBidi"/>
          <w:kern w:val="0"/>
          <w:sz w:val="20"/>
          <w:szCs w:val="20"/>
          <w:lang w:eastAsia="en-US"/>
        </w:rPr>
        <w:t>–19.</w:t>
      </w:r>
    </w:p>
    <w:p w:rsidR="00EF6891" w:rsidRPr="00EF6891" w:rsidRDefault="00EF6891" w:rsidP="00EF6891">
      <w:pPr>
        <w:widowControl/>
        <w:jc w:val="left"/>
        <w:rPr>
          <w:rFonts w:asciiTheme="minorBidi" w:eastAsia="Times New Roman" w:hAnsiTheme="minorBidi"/>
          <w:kern w:val="0"/>
          <w:sz w:val="20"/>
          <w:szCs w:val="20"/>
          <w:lang w:eastAsia="en-US"/>
        </w:rPr>
      </w:pPr>
    </w:p>
    <w:p w:rsidR="00EF6891" w:rsidRPr="00482B77" w:rsidRDefault="00EF6891">
      <w:pPr>
        <w:rPr>
          <w:rFonts w:asciiTheme="minorBidi" w:hAnsiTheme="minorBidi"/>
          <w:sz w:val="20"/>
          <w:szCs w:val="20"/>
        </w:rPr>
      </w:pPr>
    </w:p>
    <w:sectPr w:rsidR="00EF6891" w:rsidRPr="00482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416782"/>
    <w:multiLevelType w:val="multilevel"/>
    <w:tmpl w:val="4440B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E3"/>
    <w:rsid w:val="00482B77"/>
    <w:rsid w:val="00A863E3"/>
    <w:rsid w:val="00C96A28"/>
    <w:rsid w:val="00E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6B5B9"/>
  <w15:chartTrackingRefBased/>
  <w15:docId w15:val="{66F3E9FA-D676-4FE2-B480-9A385D94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3E3"/>
    <w:pPr>
      <w:widowControl w:val="0"/>
      <w:spacing w:after="0" w:line="240" w:lineRule="auto"/>
      <w:jc w:val="both"/>
    </w:pPr>
    <w:rPr>
      <w:rFonts w:eastAsiaTheme="minorEastAsia"/>
      <w:kern w:val="2"/>
      <w:sz w:val="21"/>
      <w:szCs w:val="24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863E3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E3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86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A863E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F6891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EF689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F68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dc.cancer.g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Elayeh</dc:creator>
  <cp:keywords/>
  <dc:description/>
  <cp:lastModifiedBy>Eman Elayeh</cp:lastModifiedBy>
  <cp:revision>3</cp:revision>
  <dcterms:created xsi:type="dcterms:W3CDTF">2025-09-18T06:18:00Z</dcterms:created>
  <dcterms:modified xsi:type="dcterms:W3CDTF">2025-09-18T06:26:00Z</dcterms:modified>
</cp:coreProperties>
</file>